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赫英双</w:t>
      </w:r>
      <w:r>
        <w:rPr>
          <w:rFonts w:hint="eastAsia"/>
          <w:sz w:val="15"/>
          <w:szCs w:val="15"/>
          <w:highlight w:val="none"/>
        </w:rPr>
        <w:t>，</w:t>
      </w:r>
      <w:r>
        <w:rPr>
          <w:rFonts w:hint="eastAsia"/>
          <w:sz w:val="15"/>
          <w:szCs w:val="15"/>
          <w:highlight w:val="none"/>
          <w:lang w:val="en-US" w:eastAsia="zh-CN"/>
        </w:rPr>
        <w:t>230823197803012770</w:t>
      </w:r>
      <w:r>
        <w:rPr>
          <w:rFonts w:hint="eastAsia"/>
          <w:sz w:val="15"/>
          <w:szCs w:val="15"/>
        </w:rPr>
        <w:t xml:space="preserve">  </w:t>
      </w:r>
      <w:r>
        <w:rPr>
          <w:rFonts w:hint="eastAsia"/>
          <w:sz w:val="15"/>
          <w:szCs w:val="15"/>
          <w:lang w:val="en-US" w:eastAsia="zh-CN"/>
        </w:rPr>
        <w:t>鲁NJ7291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