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高艳超</w:t>
      </w:r>
      <w:r>
        <w:rPr>
          <w:rFonts w:hint="eastAsia"/>
          <w:sz w:val="15"/>
          <w:szCs w:val="15"/>
          <w:highlight w:val="none"/>
        </w:rPr>
        <w:t>，</w:t>
      </w:r>
      <w:r>
        <w:rPr>
          <w:rFonts w:hint="eastAsia"/>
          <w:sz w:val="15"/>
          <w:szCs w:val="15"/>
          <w:highlight w:val="none"/>
          <w:lang w:val="en-US" w:eastAsia="zh-CN"/>
        </w:rPr>
        <w:t>220322198608205613</w:t>
      </w:r>
      <w:r>
        <w:rPr>
          <w:rFonts w:hint="eastAsia"/>
          <w:sz w:val="15"/>
          <w:szCs w:val="15"/>
        </w:rPr>
        <w:t xml:space="preserve">  </w:t>
      </w:r>
      <w:r>
        <w:rPr>
          <w:rFonts w:hint="eastAsia"/>
          <w:sz w:val="15"/>
          <w:szCs w:val="15"/>
          <w:lang w:val="en-US" w:eastAsia="zh-CN"/>
        </w:rPr>
        <w:t>冀B8M781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