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孙振山</w:t>
      </w:r>
      <w:r>
        <w:rPr>
          <w:rFonts w:hint="eastAsia"/>
          <w:sz w:val="15"/>
          <w:szCs w:val="15"/>
          <w:highlight w:val="none"/>
        </w:rPr>
        <w:t>，</w:t>
      </w:r>
      <w:r>
        <w:rPr>
          <w:rFonts w:hint="eastAsia"/>
          <w:sz w:val="15"/>
          <w:szCs w:val="15"/>
          <w:highlight w:val="none"/>
          <w:lang w:val="en-US" w:eastAsia="zh-CN"/>
        </w:rPr>
        <w:t>220221197301274415</w:t>
      </w:r>
      <w:r>
        <w:rPr>
          <w:rFonts w:hint="eastAsia"/>
          <w:sz w:val="15"/>
          <w:szCs w:val="15"/>
        </w:rPr>
        <w:t xml:space="preserve">  </w:t>
      </w:r>
      <w:r>
        <w:rPr>
          <w:rFonts w:hint="eastAsia"/>
          <w:sz w:val="15"/>
          <w:szCs w:val="15"/>
          <w:lang w:val="en-US" w:eastAsia="zh-CN"/>
        </w:rPr>
        <w:t>辽GK1337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