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畅月刚</w:t>
      </w:r>
      <w:r>
        <w:rPr>
          <w:rFonts w:hint="eastAsia"/>
          <w:sz w:val="15"/>
          <w:szCs w:val="15"/>
          <w:highlight w:val="none"/>
        </w:rPr>
        <w:t>，</w:t>
      </w:r>
      <w:r>
        <w:rPr>
          <w:rFonts w:hint="eastAsia"/>
          <w:sz w:val="15"/>
          <w:szCs w:val="15"/>
          <w:highlight w:val="none"/>
          <w:lang w:val="en-US" w:eastAsia="zh-CN"/>
        </w:rPr>
        <w:t>142430199601042016</w:t>
      </w:r>
      <w:r>
        <w:rPr>
          <w:rFonts w:hint="eastAsia"/>
          <w:sz w:val="15"/>
          <w:szCs w:val="15"/>
        </w:rPr>
        <w:t xml:space="preserve">  </w:t>
      </w:r>
      <w:r>
        <w:rPr>
          <w:rFonts w:hint="eastAsia"/>
          <w:sz w:val="15"/>
          <w:szCs w:val="15"/>
          <w:lang w:val="en-US" w:eastAsia="zh-CN"/>
        </w:rPr>
        <w:t>晋KA6768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