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畅绍杰</w:t>
      </w:r>
      <w:r>
        <w:rPr>
          <w:rFonts w:hint="eastAsia"/>
          <w:sz w:val="15"/>
          <w:szCs w:val="15"/>
          <w:highlight w:val="none"/>
        </w:rPr>
        <w:t>，</w:t>
      </w:r>
      <w:r>
        <w:rPr>
          <w:rFonts w:hint="eastAsia"/>
          <w:sz w:val="15"/>
          <w:szCs w:val="15"/>
          <w:highlight w:val="none"/>
          <w:lang w:val="en-US" w:eastAsia="zh-CN"/>
        </w:rPr>
        <w:t>142430199509182032</w:t>
      </w:r>
      <w:r>
        <w:rPr>
          <w:rFonts w:hint="eastAsia"/>
          <w:sz w:val="15"/>
          <w:szCs w:val="15"/>
        </w:rPr>
        <w:t xml:space="preserve">  </w:t>
      </w:r>
      <w:r>
        <w:rPr>
          <w:rFonts w:hint="eastAsia"/>
          <w:sz w:val="15"/>
          <w:szCs w:val="15"/>
          <w:lang w:val="en-US" w:eastAsia="zh-CN"/>
        </w:rPr>
        <w:t>晋KF3002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