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畅俊文</w:t>
      </w:r>
      <w:r>
        <w:rPr>
          <w:rFonts w:hint="eastAsia"/>
          <w:sz w:val="15"/>
          <w:szCs w:val="15"/>
          <w:highlight w:val="none"/>
        </w:rPr>
        <w:t>，</w:t>
      </w:r>
      <w:r>
        <w:rPr>
          <w:rFonts w:hint="eastAsia"/>
          <w:sz w:val="15"/>
          <w:szCs w:val="15"/>
          <w:highlight w:val="none"/>
          <w:lang w:val="en-US" w:eastAsia="zh-CN"/>
        </w:rPr>
        <w:t>14243019940610201X</w:t>
      </w:r>
      <w:r>
        <w:rPr>
          <w:rFonts w:hint="eastAsia"/>
          <w:sz w:val="15"/>
          <w:szCs w:val="15"/>
        </w:rPr>
        <w:t xml:space="preserve">  </w:t>
      </w:r>
      <w:r>
        <w:rPr>
          <w:rFonts w:hint="eastAsia"/>
          <w:sz w:val="15"/>
          <w:szCs w:val="15"/>
          <w:lang w:val="en-US" w:eastAsia="zh-CN"/>
        </w:rPr>
        <w:t>晋KA1244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