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石佳祺</w:t>
      </w:r>
      <w:r>
        <w:rPr>
          <w:rFonts w:hint="eastAsia"/>
          <w:sz w:val="15"/>
          <w:szCs w:val="15"/>
          <w:highlight w:val="none"/>
        </w:rPr>
        <w:t>，</w:t>
      </w:r>
      <w:r>
        <w:rPr>
          <w:rFonts w:hint="eastAsia"/>
          <w:sz w:val="15"/>
          <w:szCs w:val="15"/>
          <w:highlight w:val="none"/>
          <w:lang w:val="en-US" w:eastAsia="zh-CN"/>
        </w:rPr>
        <w:t>142429199610092116</w:t>
      </w:r>
      <w:r>
        <w:rPr>
          <w:rFonts w:hint="eastAsia"/>
          <w:sz w:val="15"/>
          <w:szCs w:val="15"/>
        </w:rPr>
        <w:t xml:space="preserve">  </w:t>
      </w:r>
      <w:r>
        <w:rPr>
          <w:rFonts w:hint="eastAsia"/>
          <w:sz w:val="15"/>
          <w:szCs w:val="15"/>
          <w:lang w:val="en-US" w:eastAsia="zh-CN"/>
        </w:rPr>
        <w:t>晋KN9502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