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杜晓建</w:t>
      </w:r>
      <w:r>
        <w:rPr>
          <w:rFonts w:hint="eastAsia"/>
          <w:sz w:val="15"/>
          <w:szCs w:val="15"/>
          <w:highlight w:val="none"/>
        </w:rPr>
        <w:t>，</w:t>
      </w:r>
      <w:r>
        <w:rPr>
          <w:rFonts w:hint="eastAsia"/>
          <w:sz w:val="15"/>
          <w:szCs w:val="15"/>
          <w:highlight w:val="none"/>
          <w:lang w:val="en-US" w:eastAsia="zh-CN"/>
        </w:rPr>
        <w:t>142429198305081213</w:t>
      </w:r>
      <w:r>
        <w:rPr>
          <w:rFonts w:hint="eastAsia"/>
          <w:sz w:val="15"/>
          <w:szCs w:val="15"/>
        </w:rPr>
        <w:t xml:space="preserve">  </w:t>
      </w:r>
      <w:r>
        <w:rPr>
          <w:rFonts w:hint="eastAsia"/>
          <w:sz w:val="15"/>
          <w:szCs w:val="15"/>
          <w:lang w:val="en-US" w:eastAsia="zh-CN"/>
        </w:rPr>
        <w:t>晋KL1954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