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杨维义</w:t>
      </w:r>
      <w:r>
        <w:rPr>
          <w:rFonts w:hint="eastAsia"/>
          <w:sz w:val="15"/>
          <w:szCs w:val="15"/>
          <w:highlight w:val="none"/>
        </w:rPr>
        <w:t>，</w:t>
      </w:r>
      <w:r>
        <w:rPr>
          <w:rFonts w:hint="eastAsia"/>
          <w:sz w:val="15"/>
          <w:szCs w:val="15"/>
          <w:highlight w:val="none"/>
          <w:lang w:val="en-US" w:eastAsia="zh-CN"/>
        </w:rPr>
        <w:t>14242919661118211X</w:t>
      </w:r>
      <w:r>
        <w:rPr>
          <w:rFonts w:hint="eastAsia"/>
          <w:sz w:val="15"/>
          <w:szCs w:val="15"/>
        </w:rPr>
        <w:t xml:space="preserve">  </w:t>
      </w:r>
      <w:r>
        <w:rPr>
          <w:rFonts w:hint="eastAsia"/>
          <w:sz w:val="15"/>
          <w:szCs w:val="15"/>
          <w:lang w:val="en-US" w:eastAsia="zh-CN"/>
        </w:rPr>
        <w:t>晋KS5546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