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杨学亮</w:t>
      </w:r>
      <w:r>
        <w:rPr>
          <w:rFonts w:hint="eastAsia"/>
          <w:sz w:val="15"/>
          <w:szCs w:val="15"/>
          <w:highlight w:val="none"/>
        </w:rPr>
        <w:t>，</w:t>
      </w:r>
      <w:r>
        <w:rPr>
          <w:rFonts w:hint="eastAsia"/>
          <w:sz w:val="15"/>
          <w:szCs w:val="15"/>
          <w:highlight w:val="none"/>
          <w:lang w:val="en-US" w:eastAsia="zh-CN"/>
        </w:rPr>
        <w:t>14240119861214701X</w:t>
      </w:r>
      <w:r>
        <w:rPr>
          <w:rFonts w:hint="eastAsia"/>
          <w:sz w:val="15"/>
          <w:szCs w:val="15"/>
        </w:rPr>
        <w:t xml:space="preserve">  </w:t>
      </w:r>
      <w:r>
        <w:rPr>
          <w:rFonts w:hint="eastAsia"/>
          <w:sz w:val="15"/>
          <w:szCs w:val="15"/>
          <w:lang w:val="en-US" w:eastAsia="zh-CN"/>
        </w:rPr>
        <w:t>晋KB8922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