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刘亮</w:t>
      </w:r>
      <w:r>
        <w:rPr>
          <w:rFonts w:hint="eastAsia"/>
          <w:sz w:val="15"/>
          <w:szCs w:val="15"/>
          <w:highlight w:val="none"/>
        </w:rPr>
        <w:t>，</w:t>
      </w:r>
      <w:r>
        <w:rPr>
          <w:rFonts w:hint="eastAsia"/>
          <w:sz w:val="15"/>
          <w:szCs w:val="15"/>
          <w:highlight w:val="none"/>
          <w:lang w:val="en-US" w:eastAsia="zh-CN"/>
        </w:rPr>
        <w:t>142401198205030316</w:t>
      </w:r>
      <w:r>
        <w:rPr>
          <w:rFonts w:hint="eastAsia"/>
          <w:sz w:val="15"/>
          <w:szCs w:val="15"/>
        </w:rPr>
        <w:t xml:space="preserve">  </w:t>
      </w:r>
      <w:r>
        <w:rPr>
          <w:rFonts w:hint="eastAsia"/>
          <w:sz w:val="15"/>
          <w:szCs w:val="15"/>
          <w:lang w:val="en-US" w:eastAsia="zh-CN"/>
        </w:rPr>
        <w:t>冀A01023D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