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郭永红</w:t>
      </w:r>
      <w:r>
        <w:rPr>
          <w:rFonts w:hint="eastAsia"/>
          <w:sz w:val="15"/>
          <w:szCs w:val="15"/>
          <w:highlight w:val="none"/>
        </w:rPr>
        <w:t>，</w:t>
      </w:r>
      <w:r>
        <w:rPr>
          <w:rFonts w:hint="eastAsia"/>
          <w:sz w:val="15"/>
          <w:szCs w:val="15"/>
          <w:highlight w:val="none"/>
          <w:lang w:val="en-US" w:eastAsia="zh-CN"/>
        </w:rPr>
        <w:t>14240119770428501X</w:t>
      </w:r>
      <w:r>
        <w:rPr>
          <w:rFonts w:hint="eastAsia"/>
          <w:sz w:val="15"/>
          <w:szCs w:val="15"/>
        </w:rPr>
        <w:t xml:space="preserve">  </w:t>
      </w:r>
      <w:r>
        <w:rPr>
          <w:rFonts w:hint="eastAsia"/>
          <w:sz w:val="15"/>
          <w:szCs w:val="15"/>
          <w:lang w:val="en-US" w:eastAsia="zh-CN"/>
        </w:rPr>
        <w:t>晋AAF838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