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秦慧军</w:t>
      </w:r>
      <w:r>
        <w:rPr>
          <w:rFonts w:hint="eastAsia"/>
          <w:sz w:val="15"/>
          <w:szCs w:val="15"/>
          <w:highlight w:val="none"/>
        </w:rPr>
        <w:t>，</w:t>
      </w:r>
      <w:r>
        <w:rPr>
          <w:rFonts w:hint="eastAsia"/>
          <w:sz w:val="15"/>
          <w:szCs w:val="15"/>
          <w:highlight w:val="none"/>
          <w:lang w:val="en-US" w:eastAsia="zh-CN"/>
        </w:rPr>
        <w:t>142322198807220017</w:t>
      </w:r>
      <w:r>
        <w:rPr>
          <w:rFonts w:hint="eastAsia"/>
          <w:sz w:val="15"/>
          <w:szCs w:val="15"/>
        </w:rPr>
        <w:t xml:space="preserve">  </w:t>
      </w:r>
      <w:r>
        <w:rPr>
          <w:rFonts w:hint="eastAsia"/>
          <w:sz w:val="15"/>
          <w:szCs w:val="15"/>
          <w:lang w:val="en-US" w:eastAsia="zh-CN"/>
        </w:rPr>
        <w:t>晋JQ7364</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