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雷永忠</w:t>
      </w:r>
      <w:r>
        <w:rPr>
          <w:rFonts w:hint="eastAsia"/>
          <w:sz w:val="15"/>
          <w:szCs w:val="15"/>
          <w:highlight w:val="none"/>
        </w:rPr>
        <w:t>，</w:t>
      </w:r>
      <w:r>
        <w:rPr>
          <w:rFonts w:hint="eastAsia"/>
          <w:sz w:val="15"/>
          <w:szCs w:val="15"/>
          <w:highlight w:val="none"/>
          <w:lang w:val="en-US" w:eastAsia="zh-CN"/>
        </w:rPr>
        <w:t>142322198708110058</w:t>
      </w:r>
      <w:r>
        <w:rPr>
          <w:rFonts w:hint="eastAsia"/>
          <w:sz w:val="15"/>
          <w:szCs w:val="15"/>
        </w:rPr>
        <w:t xml:space="preserve">  </w:t>
      </w:r>
      <w:r>
        <w:rPr>
          <w:rFonts w:hint="eastAsia"/>
          <w:sz w:val="15"/>
          <w:szCs w:val="15"/>
          <w:lang w:val="en-US" w:eastAsia="zh-CN"/>
        </w:rPr>
        <w:t>晋JH8516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