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郭婷婷</w:t>
      </w:r>
      <w:r>
        <w:rPr>
          <w:rFonts w:hint="eastAsia"/>
          <w:sz w:val="15"/>
          <w:szCs w:val="15"/>
          <w:highlight w:val="none"/>
        </w:rPr>
        <w:t>，</w:t>
      </w:r>
      <w:r>
        <w:rPr>
          <w:rFonts w:hint="eastAsia"/>
          <w:sz w:val="15"/>
          <w:szCs w:val="15"/>
          <w:highlight w:val="none"/>
          <w:lang w:val="en-US" w:eastAsia="zh-CN"/>
        </w:rPr>
        <w:t>140724198804040160</w:t>
      </w:r>
      <w:r>
        <w:rPr>
          <w:rFonts w:hint="eastAsia"/>
          <w:sz w:val="15"/>
          <w:szCs w:val="15"/>
        </w:rPr>
        <w:t xml:space="preserve">  </w:t>
      </w:r>
      <w:r>
        <w:rPr>
          <w:rFonts w:hint="eastAsia"/>
          <w:sz w:val="15"/>
          <w:szCs w:val="15"/>
          <w:lang w:val="en-US" w:eastAsia="zh-CN"/>
        </w:rPr>
        <w:t>冀A202Y3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