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李建平</w:t>
      </w:r>
      <w:r>
        <w:rPr>
          <w:rFonts w:hint="eastAsia"/>
          <w:sz w:val="15"/>
          <w:szCs w:val="15"/>
          <w:highlight w:val="none"/>
        </w:rPr>
        <w:t>，</w:t>
      </w:r>
      <w:r>
        <w:rPr>
          <w:rFonts w:hint="eastAsia"/>
          <w:sz w:val="15"/>
          <w:szCs w:val="15"/>
          <w:highlight w:val="none"/>
          <w:lang w:val="en-US" w:eastAsia="zh-CN"/>
        </w:rPr>
        <w:t>140423197404262015</w:t>
      </w:r>
      <w:r>
        <w:rPr>
          <w:rFonts w:hint="eastAsia"/>
          <w:sz w:val="15"/>
          <w:szCs w:val="15"/>
        </w:rPr>
        <w:t xml:space="preserve">  </w:t>
      </w:r>
      <w:r>
        <w:rPr>
          <w:rFonts w:hint="eastAsia"/>
          <w:sz w:val="15"/>
          <w:szCs w:val="15"/>
          <w:lang w:val="en-US" w:eastAsia="zh-CN"/>
        </w:rPr>
        <w:t>晋C03450D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