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田艾全</w:t>
      </w:r>
      <w:r>
        <w:rPr>
          <w:rFonts w:hint="eastAsia"/>
          <w:sz w:val="15"/>
          <w:szCs w:val="15"/>
          <w:highlight w:val="none"/>
        </w:rPr>
        <w:t>，</w:t>
      </w:r>
      <w:r>
        <w:rPr>
          <w:rFonts w:hint="eastAsia"/>
          <w:sz w:val="15"/>
          <w:szCs w:val="15"/>
          <w:highlight w:val="none"/>
          <w:lang w:val="en-US" w:eastAsia="zh-CN"/>
        </w:rPr>
        <w:t>140322197505012750</w:t>
      </w:r>
      <w:r>
        <w:rPr>
          <w:rFonts w:hint="eastAsia"/>
          <w:sz w:val="15"/>
          <w:szCs w:val="15"/>
        </w:rPr>
        <w:t xml:space="preserve">  </w:t>
      </w:r>
      <w:r>
        <w:rPr>
          <w:rFonts w:hint="eastAsia"/>
          <w:sz w:val="15"/>
          <w:szCs w:val="15"/>
          <w:lang w:val="en-US" w:eastAsia="zh-CN"/>
        </w:rPr>
        <w:t>冀A95N56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