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梁燕龙</w:t>
      </w:r>
      <w:r>
        <w:rPr>
          <w:rFonts w:hint="eastAsia"/>
          <w:sz w:val="15"/>
          <w:szCs w:val="15"/>
          <w:highlight w:val="none"/>
        </w:rPr>
        <w:t>，</w:t>
      </w:r>
      <w:r>
        <w:rPr>
          <w:rFonts w:hint="eastAsia"/>
          <w:sz w:val="15"/>
          <w:szCs w:val="15"/>
          <w:highlight w:val="none"/>
          <w:lang w:val="en-US" w:eastAsia="zh-CN"/>
        </w:rPr>
        <w:t>140321198306044512</w:t>
      </w:r>
      <w:r>
        <w:rPr>
          <w:rFonts w:hint="eastAsia"/>
          <w:sz w:val="15"/>
          <w:szCs w:val="15"/>
        </w:rPr>
        <w:t xml:space="preserve">  </w:t>
      </w:r>
      <w:r>
        <w:rPr>
          <w:rFonts w:hint="eastAsia"/>
          <w:sz w:val="15"/>
          <w:szCs w:val="15"/>
          <w:lang w:val="en-US" w:eastAsia="zh-CN"/>
        </w:rPr>
        <w:t>冀AK8752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