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栾海瑞</w:t>
      </w:r>
      <w:r>
        <w:rPr>
          <w:rFonts w:hint="eastAsia"/>
          <w:sz w:val="15"/>
          <w:szCs w:val="15"/>
          <w:highlight w:val="none"/>
        </w:rPr>
        <w:t>，</w:t>
      </w:r>
      <w:r>
        <w:rPr>
          <w:rFonts w:hint="eastAsia"/>
          <w:sz w:val="15"/>
          <w:szCs w:val="15"/>
          <w:highlight w:val="none"/>
          <w:lang w:val="en-US" w:eastAsia="zh-CN"/>
        </w:rPr>
        <w:t>140321198003152719</w:t>
      </w:r>
      <w:r>
        <w:rPr>
          <w:rFonts w:hint="eastAsia"/>
          <w:sz w:val="15"/>
          <w:szCs w:val="15"/>
        </w:rPr>
        <w:t xml:space="preserve">  </w:t>
      </w:r>
      <w:r>
        <w:rPr>
          <w:rFonts w:hint="eastAsia"/>
          <w:sz w:val="15"/>
          <w:szCs w:val="15"/>
          <w:lang w:val="en-US" w:eastAsia="zh-CN"/>
        </w:rPr>
        <w:t>冀A3689W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