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王全明</w:t>
      </w:r>
      <w:r>
        <w:rPr>
          <w:rFonts w:hint="eastAsia"/>
          <w:sz w:val="15"/>
          <w:szCs w:val="15"/>
          <w:highlight w:val="none"/>
        </w:rPr>
        <w:t>，</w:t>
      </w:r>
      <w:r>
        <w:rPr>
          <w:rFonts w:hint="eastAsia"/>
          <w:sz w:val="15"/>
          <w:szCs w:val="15"/>
          <w:highlight w:val="none"/>
          <w:lang w:val="en-US" w:eastAsia="zh-CN"/>
        </w:rPr>
        <w:t>140321197310274551</w:t>
      </w:r>
      <w:r>
        <w:rPr>
          <w:rFonts w:hint="eastAsia"/>
          <w:sz w:val="15"/>
          <w:szCs w:val="15"/>
        </w:rPr>
        <w:t xml:space="preserve">  </w:t>
      </w:r>
      <w:r>
        <w:rPr>
          <w:rFonts w:hint="eastAsia"/>
          <w:sz w:val="15"/>
          <w:szCs w:val="15"/>
          <w:lang w:val="en-US" w:eastAsia="zh-CN"/>
        </w:rPr>
        <w:t>冀AK9288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