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张红权</w:t>
      </w:r>
      <w:r>
        <w:rPr>
          <w:rFonts w:hint="eastAsia"/>
          <w:sz w:val="15"/>
          <w:szCs w:val="15"/>
          <w:highlight w:val="none"/>
        </w:rPr>
        <w:t>，</w:t>
      </w:r>
      <w:r>
        <w:rPr>
          <w:rFonts w:hint="eastAsia"/>
          <w:sz w:val="15"/>
          <w:szCs w:val="15"/>
          <w:highlight w:val="none"/>
          <w:lang w:val="en-US" w:eastAsia="zh-CN"/>
        </w:rPr>
        <w:t>140227197408100077</w:t>
      </w:r>
      <w:r>
        <w:rPr>
          <w:rFonts w:hint="eastAsia"/>
          <w:sz w:val="15"/>
          <w:szCs w:val="15"/>
        </w:rPr>
        <w:t xml:space="preserve">  </w:t>
      </w:r>
      <w:r>
        <w:rPr>
          <w:rFonts w:hint="eastAsia"/>
          <w:sz w:val="15"/>
          <w:szCs w:val="15"/>
          <w:lang w:val="en-US" w:eastAsia="zh-CN"/>
        </w:rPr>
        <w:t>晋BC6563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