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贾婷婷</w:t>
      </w:r>
      <w:r>
        <w:rPr>
          <w:rFonts w:hint="eastAsia"/>
          <w:sz w:val="15"/>
          <w:szCs w:val="15"/>
          <w:highlight w:val="none"/>
        </w:rPr>
        <w:t>，</w:t>
      </w:r>
      <w:r>
        <w:rPr>
          <w:rFonts w:hint="eastAsia"/>
          <w:sz w:val="15"/>
          <w:szCs w:val="15"/>
          <w:highlight w:val="none"/>
          <w:lang w:val="en-US" w:eastAsia="zh-CN"/>
        </w:rPr>
        <w:t>140121198709141527</w:t>
      </w:r>
      <w:r>
        <w:rPr>
          <w:rFonts w:hint="eastAsia"/>
          <w:sz w:val="15"/>
          <w:szCs w:val="15"/>
        </w:rPr>
        <w:t xml:space="preserve">  </w:t>
      </w:r>
      <w:r>
        <w:rPr>
          <w:rFonts w:hint="eastAsia"/>
          <w:sz w:val="15"/>
          <w:szCs w:val="15"/>
          <w:lang w:val="en-US" w:eastAsia="zh-CN"/>
        </w:rPr>
        <w:t>晋A08845D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