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段佳佳</w:t>
      </w:r>
      <w:r>
        <w:rPr>
          <w:rFonts w:hint="eastAsia"/>
          <w:sz w:val="15"/>
          <w:szCs w:val="15"/>
          <w:highlight w:val="none"/>
        </w:rPr>
        <w:t>，</w:t>
      </w:r>
      <w:r>
        <w:rPr>
          <w:rFonts w:hint="eastAsia"/>
          <w:sz w:val="15"/>
          <w:szCs w:val="15"/>
          <w:highlight w:val="none"/>
          <w:lang w:val="en-US" w:eastAsia="zh-CN"/>
        </w:rPr>
        <w:t>140121198603099025</w:t>
      </w:r>
      <w:r>
        <w:rPr>
          <w:rFonts w:hint="eastAsia"/>
          <w:sz w:val="15"/>
          <w:szCs w:val="15"/>
        </w:rPr>
        <w:t xml:space="preserve">  </w:t>
      </w:r>
      <w:r>
        <w:rPr>
          <w:rFonts w:hint="eastAsia"/>
          <w:sz w:val="15"/>
          <w:szCs w:val="15"/>
          <w:lang w:val="en-US" w:eastAsia="zh-CN"/>
        </w:rPr>
        <w:t>沪A37719A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