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郭利兵</w:t>
      </w:r>
      <w:r>
        <w:rPr>
          <w:rFonts w:hint="eastAsia"/>
          <w:sz w:val="15"/>
          <w:szCs w:val="15"/>
          <w:highlight w:val="none"/>
        </w:rPr>
        <w:t>，</w:t>
      </w:r>
      <w:r>
        <w:rPr>
          <w:rFonts w:hint="eastAsia"/>
          <w:sz w:val="15"/>
          <w:szCs w:val="15"/>
          <w:highlight w:val="none"/>
          <w:lang w:val="en-US" w:eastAsia="zh-CN"/>
        </w:rPr>
        <w:t>140121198302178010</w:t>
      </w:r>
      <w:r>
        <w:rPr>
          <w:rFonts w:hint="eastAsia"/>
          <w:sz w:val="15"/>
          <w:szCs w:val="15"/>
        </w:rPr>
        <w:t xml:space="preserve">  </w:t>
      </w:r>
      <w:r>
        <w:rPr>
          <w:rFonts w:hint="eastAsia"/>
          <w:sz w:val="15"/>
          <w:szCs w:val="15"/>
          <w:lang w:val="en-US" w:eastAsia="zh-CN"/>
        </w:rPr>
        <w:t>晋AY2155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