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王新刚</w:t>
      </w:r>
      <w:r>
        <w:rPr>
          <w:rFonts w:hint="eastAsia"/>
          <w:sz w:val="15"/>
          <w:szCs w:val="15"/>
          <w:highlight w:val="none"/>
        </w:rPr>
        <w:t>，</w:t>
      </w:r>
      <w:r>
        <w:rPr>
          <w:rFonts w:hint="eastAsia"/>
          <w:sz w:val="15"/>
          <w:szCs w:val="15"/>
          <w:highlight w:val="none"/>
          <w:lang w:val="en-US" w:eastAsia="zh-CN"/>
        </w:rPr>
        <w:t>140121197812082516</w:t>
      </w:r>
      <w:r>
        <w:rPr>
          <w:rFonts w:hint="eastAsia"/>
          <w:sz w:val="15"/>
          <w:szCs w:val="15"/>
        </w:rPr>
        <w:t xml:space="preserve">  </w:t>
      </w:r>
      <w:r>
        <w:rPr>
          <w:rFonts w:hint="eastAsia"/>
          <w:sz w:val="15"/>
          <w:szCs w:val="15"/>
          <w:lang w:val="en-US" w:eastAsia="zh-CN"/>
        </w:rPr>
        <w:t>晋AG4986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