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王惠强</w:t>
      </w:r>
      <w:r>
        <w:rPr>
          <w:rFonts w:hint="eastAsia"/>
          <w:sz w:val="15"/>
          <w:szCs w:val="15"/>
          <w:highlight w:val="none"/>
        </w:rPr>
        <w:t>，</w:t>
      </w:r>
      <w:r>
        <w:rPr>
          <w:rFonts w:hint="eastAsia"/>
          <w:sz w:val="15"/>
          <w:szCs w:val="15"/>
          <w:highlight w:val="none"/>
          <w:lang w:val="en-US" w:eastAsia="zh-CN"/>
        </w:rPr>
        <w:t>140121197505092511</w:t>
      </w:r>
      <w:r>
        <w:rPr>
          <w:rFonts w:hint="eastAsia"/>
          <w:sz w:val="15"/>
          <w:szCs w:val="15"/>
        </w:rPr>
        <w:t xml:space="preserve">  </w:t>
      </w:r>
      <w:r>
        <w:rPr>
          <w:rFonts w:hint="eastAsia"/>
          <w:sz w:val="15"/>
          <w:szCs w:val="15"/>
          <w:lang w:val="en-US" w:eastAsia="zh-CN"/>
        </w:rPr>
        <w:t>晋AE1726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