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魏春旺</w:t>
      </w:r>
      <w:r>
        <w:rPr>
          <w:rFonts w:hint="eastAsia"/>
          <w:sz w:val="15"/>
          <w:szCs w:val="15"/>
          <w:highlight w:val="none"/>
        </w:rPr>
        <w:t>，</w:t>
      </w:r>
      <w:r>
        <w:rPr>
          <w:rFonts w:hint="eastAsia"/>
          <w:sz w:val="15"/>
          <w:szCs w:val="15"/>
          <w:highlight w:val="none"/>
          <w:lang w:val="en-US" w:eastAsia="zh-CN"/>
        </w:rPr>
        <w:t>140121197002088051</w:t>
      </w:r>
      <w:r>
        <w:rPr>
          <w:rFonts w:hint="eastAsia"/>
          <w:sz w:val="15"/>
          <w:szCs w:val="15"/>
        </w:rPr>
        <w:t xml:space="preserve">  </w:t>
      </w:r>
      <w:r>
        <w:rPr>
          <w:rFonts w:hint="eastAsia"/>
          <w:sz w:val="15"/>
          <w:szCs w:val="15"/>
          <w:lang w:val="en-US" w:eastAsia="zh-CN"/>
        </w:rPr>
        <w:t>晋AE6979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