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刘爱文</w:t>
      </w:r>
      <w:r>
        <w:rPr>
          <w:rFonts w:hint="eastAsia"/>
          <w:sz w:val="15"/>
          <w:szCs w:val="15"/>
          <w:highlight w:val="none"/>
        </w:rPr>
        <w:t>，</w:t>
      </w:r>
      <w:r>
        <w:rPr>
          <w:rFonts w:hint="eastAsia"/>
          <w:sz w:val="15"/>
          <w:szCs w:val="15"/>
          <w:highlight w:val="none"/>
          <w:lang w:val="en-US" w:eastAsia="zh-CN"/>
        </w:rPr>
        <w:t>140121196904017012</w:t>
      </w:r>
      <w:r>
        <w:rPr>
          <w:rFonts w:hint="eastAsia"/>
          <w:sz w:val="15"/>
          <w:szCs w:val="15"/>
        </w:rPr>
        <w:t xml:space="preserve">  </w:t>
      </w:r>
      <w:r>
        <w:rPr>
          <w:rFonts w:hint="eastAsia"/>
          <w:sz w:val="15"/>
          <w:szCs w:val="15"/>
          <w:lang w:val="en-US" w:eastAsia="zh-CN"/>
        </w:rPr>
        <w:t>晋KX8063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