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王永岗</w:t>
      </w:r>
      <w:r>
        <w:rPr>
          <w:rFonts w:hint="eastAsia"/>
          <w:sz w:val="15"/>
          <w:szCs w:val="15"/>
          <w:highlight w:val="none"/>
        </w:rPr>
        <w:t>，</w:t>
      </w:r>
      <w:r>
        <w:rPr>
          <w:rFonts w:hint="eastAsia"/>
          <w:sz w:val="15"/>
          <w:szCs w:val="15"/>
          <w:highlight w:val="none"/>
          <w:lang w:val="en-US" w:eastAsia="zh-CN"/>
        </w:rPr>
        <w:t>140112197309190839</w:t>
      </w:r>
      <w:r>
        <w:rPr>
          <w:rFonts w:hint="eastAsia"/>
          <w:sz w:val="15"/>
          <w:szCs w:val="15"/>
        </w:rPr>
        <w:t xml:space="preserve">  </w:t>
      </w:r>
      <w:r>
        <w:rPr>
          <w:rFonts w:hint="eastAsia"/>
          <w:sz w:val="15"/>
          <w:szCs w:val="15"/>
          <w:lang w:val="en-US" w:eastAsia="zh-CN"/>
        </w:rPr>
        <w:t>晋AV1686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