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李爱江</w:t>
      </w:r>
      <w:r>
        <w:rPr>
          <w:rFonts w:hint="eastAsia"/>
          <w:sz w:val="15"/>
          <w:szCs w:val="15"/>
          <w:highlight w:val="none"/>
        </w:rPr>
        <w:t>，</w:t>
      </w:r>
      <w:r>
        <w:rPr>
          <w:rFonts w:hint="eastAsia"/>
          <w:sz w:val="15"/>
          <w:szCs w:val="15"/>
          <w:highlight w:val="none"/>
          <w:lang w:val="en-US" w:eastAsia="zh-CN"/>
        </w:rPr>
        <w:t>140105198309262215</w:t>
      </w:r>
      <w:r>
        <w:rPr>
          <w:rFonts w:hint="eastAsia"/>
          <w:sz w:val="15"/>
          <w:szCs w:val="15"/>
        </w:rPr>
        <w:t xml:space="preserve">  </w:t>
      </w:r>
      <w:r>
        <w:rPr>
          <w:rFonts w:hint="eastAsia"/>
          <w:sz w:val="15"/>
          <w:szCs w:val="15"/>
          <w:lang w:val="en-US" w:eastAsia="zh-CN"/>
        </w:rPr>
        <w:t>晋A04806D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