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李长春</w:t>
      </w:r>
      <w:r>
        <w:rPr>
          <w:rFonts w:hint="eastAsia"/>
          <w:sz w:val="15"/>
          <w:szCs w:val="15"/>
          <w:highlight w:val="none"/>
        </w:rPr>
        <w:t>，</w:t>
      </w:r>
      <w:r>
        <w:rPr>
          <w:rFonts w:hint="eastAsia"/>
          <w:sz w:val="15"/>
          <w:szCs w:val="15"/>
          <w:highlight w:val="none"/>
          <w:lang w:val="en-US" w:eastAsia="zh-CN"/>
        </w:rPr>
        <w:t>140104197607084110</w:t>
      </w:r>
      <w:r>
        <w:rPr>
          <w:rFonts w:hint="eastAsia"/>
          <w:sz w:val="15"/>
          <w:szCs w:val="15"/>
        </w:rPr>
        <w:t xml:space="preserve">  </w:t>
      </w:r>
      <w:r>
        <w:rPr>
          <w:rFonts w:hint="eastAsia"/>
          <w:sz w:val="15"/>
          <w:szCs w:val="15"/>
          <w:lang w:val="en-US" w:eastAsia="zh-CN"/>
        </w:rPr>
        <w:t>晋A04799D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