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葛永波</w:t>
      </w:r>
      <w:r>
        <w:rPr>
          <w:rFonts w:hint="eastAsia"/>
          <w:sz w:val="15"/>
          <w:szCs w:val="15"/>
          <w:highlight w:val="none"/>
        </w:rPr>
        <w:t>，</w:t>
      </w:r>
      <w:r>
        <w:rPr>
          <w:rFonts w:hint="eastAsia"/>
          <w:sz w:val="15"/>
          <w:szCs w:val="15"/>
          <w:highlight w:val="none"/>
          <w:lang w:val="en-US" w:eastAsia="zh-CN"/>
        </w:rPr>
        <w:t>133031197806020915</w:t>
      </w:r>
      <w:r>
        <w:rPr>
          <w:rFonts w:hint="eastAsia"/>
          <w:sz w:val="15"/>
          <w:szCs w:val="15"/>
        </w:rPr>
        <w:t xml:space="preserve">  </w:t>
      </w:r>
      <w:r>
        <w:rPr>
          <w:rFonts w:hint="eastAsia"/>
          <w:sz w:val="15"/>
          <w:szCs w:val="15"/>
          <w:lang w:val="en-US" w:eastAsia="zh-CN"/>
        </w:rPr>
        <w:t>冀T50715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