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郗立旺</w:t>
      </w:r>
      <w:r>
        <w:rPr>
          <w:rFonts w:hint="eastAsia"/>
          <w:sz w:val="15"/>
          <w:szCs w:val="15"/>
          <w:highlight w:val="none"/>
        </w:rPr>
        <w:t>，</w:t>
      </w:r>
      <w:r>
        <w:rPr>
          <w:rFonts w:hint="eastAsia"/>
          <w:sz w:val="15"/>
          <w:szCs w:val="15"/>
          <w:highlight w:val="none"/>
          <w:lang w:val="en-US" w:eastAsia="zh-CN"/>
        </w:rPr>
        <w:t>133031197603130014</w:t>
      </w:r>
      <w:r>
        <w:rPr>
          <w:rFonts w:hint="eastAsia"/>
          <w:sz w:val="15"/>
          <w:szCs w:val="15"/>
        </w:rPr>
        <w:t xml:space="preserve">  </w:t>
      </w:r>
      <w:r>
        <w:rPr>
          <w:rFonts w:hint="eastAsia"/>
          <w:sz w:val="15"/>
          <w:szCs w:val="15"/>
          <w:lang w:val="en-US" w:eastAsia="zh-CN"/>
        </w:rPr>
        <w:t>冀J0D898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