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李红卫</w:t>
      </w:r>
      <w:r>
        <w:rPr>
          <w:rFonts w:hint="eastAsia"/>
          <w:sz w:val="15"/>
          <w:szCs w:val="15"/>
          <w:highlight w:val="none"/>
        </w:rPr>
        <w:t>，</w:t>
      </w:r>
      <w:r>
        <w:rPr>
          <w:rFonts w:hint="eastAsia"/>
          <w:sz w:val="15"/>
          <w:szCs w:val="15"/>
          <w:highlight w:val="none"/>
          <w:lang w:val="en-US" w:eastAsia="zh-CN"/>
        </w:rPr>
        <w:t>133031197202282412</w:t>
      </w:r>
      <w:r>
        <w:rPr>
          <w:rFonts w:hint="eastAsia"/>
          <w:sz w:val="15"/>
          <w:szCs w:val="15"/>
        </w:rPr>
        <w:t xml:space="preserve">  </w:t>
      </w:r>
      <w:r>
        <w:rPr>
          <w:rFonts w:hint="eastAsia"/>
          <w:sz w:val="15"/>
          <w:szCs w:val="15"/>
          <w:lang w:val="en-US" w:eastAsia="zh-CN"/>
        </w:rPr>
        <w:t>冀J0M279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