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高照升</w:t>
      </w:r>
      <w:r>
        <w:rPr>
          <w:rFonts w:hint="eastAsia"/>
          <w:sz w:val="15"/>
          <w:szCs w:val="15"/>
          <w:highlight w:val="none"/>
        </w:rPr>
        <w:t>，</w:t>
      </w:r>
      <w:r>
        <w:rPr>
          <w:rFonts w:hint="eastAsia"/>
          <w:sz w:val="15"/>
          <w:szCs w:val="15"/>
          <w:highlight w:val="none"/>
          <w:lang w:val="en-US" w:eastAsia="zh-CN"/>
        </w:rPr>
        <w:t>133031197107152716</w:t>
      </w:r>
      <w:r>
        <w:rPr>
          <w:rFonts w:hint="eastAsia"/>
          <w:sz w:val="15"/>
          <w:szCs w:val="15"/>
        </w:rPr>
        <w:t xml:space="preserve">  </w:t>
      </w:r>
      <w:r>
        <w:rPr>
          <w:rFonts w:hint="eastAsia"/>
          <w:sz w:val="15"/>
          <w:szCs w:val="15"/>
          <w:lang w:val="en-US" w:eastAsia="zh-CN"/>
        </w:rPr>
        <w:t>冀A855VD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