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李建军</w:t>
      </w:r>
      <w:r>
        <w:rPr>
          <w:rFonts w:hint="eastAsia"/>
          <w:sz w:val="15"/>
          <w:szCs w:val="15"/>
          <w:highlight w:val="none"/>
        </w:rPr>
        <w:t>，</w:t>
      </w:r>
      <w:r>
        <w:rPr>
          <w:rFonts w:hint="eastAsia"/>
          <w:sz w:val="15"/>
          <w:szCs w:val="15"/>
          <w:highlight w:val="none"/>
          <w:lang w:val="en-US" w:eastAsia="zh-CN"/>
        </w:rPr>
        <w:t>133031196909292417</w:t>
      </w:r>
      <w:r>
        <w:rPr>
          <w:rFonts w:hint="eastAsia"/>
          <w:sz w:val="15"/>
          <w:szCs w:val="15"/>
        </w:rPr>
        <w:t xml:space="preserve">  </w:t>
      </w:r>
      <w:r>
        <w:rPr>
          <w:rFonts w:hint="eastAsia"/>
          <w:sz w:val="15"/>
          <w:szCs w:val="15"/>
          <w:lang w:val="en-US" w:eastAsia="zh-CN"/>
        </w:rPr>
        <w:t>冀TT3366</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