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夏兰刚</w:t>
      </w:r>
      <w:r>
        <w:rPr>
          <w:rFonts w:hint="eastAsia"/>
          <w:sz w:val="15"/>
          <w:szCs w:val="15"/>
          <w:highlight w:val="none"/>
        </w:rPr>
        <w:t>，</w:t>
      </w:r>
      <w:r>
        <w:rPr>
          <w:rFonts w:hint="eastAsia"/>
          <w:sz w:val="15"/>
          <w:szCs w:val="15"/>
          <w:highlight w:val="none"/>
          <w:lang w:val="en-US" w:eastAsia="zh-CN"/>
        </w:rPr>
        <w:t>13303019740910465X</w:t>
      </w:r>
      <w:r>
        <w:rPr>
          <w:rFonts w:hint="eastAsia"/>
          <w:sz w:val="15"/>
          <w:szCs w:val="15"/>
        </w:rPr>
        <w:t xml:space="preserve">  </w:t>
      </w:r>
      <w:r>
        <w:rPr>
          <w:rFonts w:hint="eastAsia"/>
          <w:sz w:val="15"/>
          <w:szCs w:val="15"/>
          <w:lang w:val="en-US" w:eastAsia="zh-CN"/>
        </w:rPr>
        <w:t>冀A93322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