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赵志强</w:t>
      </w:r>
      <w:r>
        <w:rPr>
          <w:rFonts w:hint="eastAsia"/>
          <w:sz w:val="15"/>
          <w:szCs w:val="15"/>
          <w:highlight w:val="none"/>
        </w:rPr>
        <w:t>，</w:t>
      </w:r>
      <w:r>
        <w:rPr>
          <w:rFonts w:hint="eastAsia"/>
          <w:sz w:val="15"/>
          <w:szCs w:val="15"/>
          <w:highlight w:val="none"/>
          <w:lang w:val="en-US" w:eastAsia="zh-CN"/>
        </w:rPr>
        <w:t>133030196801274659</w:t>
      </w:r>
      <w:r>
        <w:rPr>
          <w:rFonts w:hint="eastAsia"/>
          <w:sz w:val="15"/>
          <w:szCs w:val="15"/>
        </w:rPr>
        <w:t xml:space="preserve">  </w:t>
      </w:r>
      <w:r>
        <w:rPr>
          <w:rFonts w:hint="eastAsia"/>
          <w:sz w:val="15"/>
          <w:szCs w:val="15"/>
          <w:lang w:val="en-US" w:eastAsia="zh-CN"/>
        </w:rPr>
        <w:t>冀T36570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