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赵书旺</w:t>
      </w:r>
      <w:r>
        <w:rPr>
          <w:rFonts w:hint="eastAsia"/>
          <w:sz w:val="15"/>
          <w:szCs w:val="15"/>
          <w:highlight w:val="none"/>
        </w:rPr>
        <w:t>，</w:t>
      </w:r>
      <w:r>
        <w:rPr>
          <w:rFonts w:hint="eastAsia"/>
          <w:sz w:val="15"/>
          <w:szCs w:val="15"/>
          <w:highlight w:val="none"/>
          <w:lang w:val="en-US" w:eastAsia="zh-CN"/>
        </w:rPr>
        <w:t>133024196805131818</w:t>
      </w:r>
      <w:r>
        <w:rPr>
          <w:rFonts w:hint="eastAsia"/>
          <w:sz w:val="15"/>
          <w:szCs w:val="15"/>
        </w:rPr>
        <w:t xml:space="preserve">  </w:t>
      </w:r>
      <w:r>
        <w:rPr>
          <w:rFonts w:hint="eastAsia"/>
          <w:sz w:val="15"/>
          <w:szCs w:val="15"/>
          <w:lang w:val="en-US" w:eastAsia="zh-CN"/>
        </w:rPr>
        <w:t>冀T93080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