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李振福</w:t>
      </w:r>
      <w:r>
        <w:rPr>
          <w:rFonts w:hint="eastAsia"/>
          <w:sz w:val="15"/>
          <w:szCs w:val="15"/>
          <w:highlight w:val="none"/>
        </w:rPr>
        <w:t>，</w:t>
      </w:r>
      <w:r>
        <w:rPr>
          <w:rFonts w:hint="eastAsia"/>
          <w:sz w:val="15"/>
          <w:szCs w:val="15"/>
          <w:highlight w:val="none"/>
          <w:lang w:val="en-US" w:eastAsia="zh-CN"/>
        </w:rPr>
        <w:t>13292819791006271X</w:t>
      </w:r>
      <w:r>
        <w:rPr>
          <w:rFonts w:hint="eastAsia"/>
          <w:sz w:val="15"/>
          <w:szCs w:val="15"/>
        </w:rPr>
        <w:t xml:space="preserve">  </w:t>
      </w:r>
      <w:r>
        <w:rPr>
          <w:rFonts w:hint="eastAsia"/>
          <w:sz w:val="15"/>
          <w:szCs w:val="15"/>
          <w:lang w:val="en-US" w:eastAsia="zh-CN"/>
        </w:rPr>
        <w:t>冀J9J257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