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姚国强</w:t>
      </w:r>
      <w:r>
        <w:rPr>
          <w:rFonts w:hint="eastAsia"/>
          <w:sz w:val="15"/>
          <w:szCs w:val="15"/>
          <w:highlight w:val="none"/>
        </w:rPr>
        <w:t>，</w:t>
      </w:r>
      <w:r>
        <w:rPr>
          <w:rFonts w:hint="eastAsia"/>
          <w:sz w:val="15"/>
          <w:szCs w:val="15"/>
          <w:highlight w:val="none"/>
          <w:lang w:val="en-US" w:eastAsia="zh-CN"/>
        </w:rPr>
        <w:t>132928197801120175</w:t>
      </w:r>
      <w:r>
        <w:rPr>
          <w:rFonts w:hint="eastAsia"/>
          <w:sz w:val="15"/>
          <w:szCs w:val="15"/>
        </w:rPr>
        <w:t xml:space="preserve">  </w:t>
      </w:r>
      <w:r>
        <w:rPr>
          <w:rFonts w:hint="eastAsia"/>
          <w:sz w:val="15"/>
          <w:szCs w:val="15"/>
          <w:lang w:val="en-US" w:eastAsia="zh-CN"/>
        </w:rPr>
        <w:t>冀J1H169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