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褚庆广</w:t>
      </w:r>
      <w:r>
        <w:rPr>
          <w:rFonts w:hint="eastAsia"/>
          <w:sz w:val="15"/>
          <w:szCs w:val="15"/>
          <w:highlight w:val="none"/>
        </w:rPr>
        <w:t>，</w:t>
      </w:r>
      <w:r>
        <w:rPr>
          <w:rFonts w:hint="eastAsia"/>
          <w:sz w:val="15"/>
          <w:szCs w:val="15"/>
          <w:highlight w:val="none"/>
          <w:lang w:val="en-US" w:eastAsia="zh-CN"/>
        </w:rPr>
        <w:t>132902197508297111</w:t>
      </w:r>
      <w:r>
        <w:rPr>
          <w:rFonts w:hint="eastAsia"/>
          <w:sz w:val="15"/>
          <w:szCs w:val="15"/>
        </w:rPr>
        <w:t xml:space="preserve">  </w:t>
      </w:r>
      <w:r>
        <w:rPr>
          <w:rFonts w:hint="eastAsia"/>
          <w:sz w:val="15"/>
          <w:szCs w:val="15"/>
          <w:lang w:val="en-US" w:eastAsia="zh-CN"/>
        </w:rPr>
        <w:t>冀TT6272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