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耿水英</w:t>
      </w:r>
      <w:r>
        <w:rPr>
          <w:rFonts w:hint="eastAsia"/>
          <w:sz w:val="15"/>
          <w:szCs w:val="15"/>
          <w:highlight w:val="none"/>
        </w:rPr>
        <w:t>，</w:t>
      </w:r>
      <w:r>
        <w:rPr>
          <w:rFonts w:hint="eastAsia"/>
          <w:sz w:val="15"/>
          <w:szCs w:val="15"/>
          <w:highlight w:val="none"/>
          <w:lang w:val="en-US" w:eastAsia="zh-CN"/>
        </w:rPr>
        <w:t>132902197210014166</w:t>
      </w:r>
      <w:r>
        <w:rPr>
          <w:rFonts w:hint="eastAsia"/>
          <w:sz w:val="15"/>
          <w:szCs w:val="15"/>
        </w:rPr>
        <w:t xml:space="preserve">  </w:t>
      </w:r>
      <w:r>
        <w:rPr>
          <w:rFonts w:hint="eastAsia"/>
          <w:sz w:val="15"/>
          <w:szCs w:val="15"/>
          <w:lang w:val="en-US" w:eastAsia="zh-CN"/>
        </w:rPr>
        <w:t>冀TD9007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