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潘亚力</w:t>
      </w:r>
      <w:r>
        <w:rPr>
          <w:rFonts w:hint="eastAsia"/>
          <w:sz w:val="15"/>
          <w:szCs w:val="15"/>
          <w:highlight w:val="none"/>
        </w:rPr>
        <w:t>，</w:t>
      </w:r>
      <w:r>
        <w:rPr>
          <w:rFonts w:hint="eastAsia"/>
          <w:sz w:val="15"/>
          <w:szCs w:val="15"/>
          <w:highlight w:val="none"/>
          <w:lang w:val="en-US" w:eastAsia="zh-CN"/>
        </w:rPr>
        <w:t>132629197711060674</w:t>
      </w:r>
      <w:r>
        <w:rPr>
          <w:rFonts w:hint="eastAsia"/>
          <w:sz w:val="15"/>
          <w:szCs w:val="15"/>
        </w:rPr>
        <w:t xml:space="preserve">  </w:t>
      </w:r>
      <w:r>
        <w:rPr>
          <w:rFonts w:hint="eastAsia"/>
          <w:sz w:val="15"/>
          <w:szCs w:val="15"/>
          <w:lang w:val="en-US" w:eastAsia="zh-CN"/>
        </w:rPr>
        <w:t>冀B1N353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