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田继忠</w:t>
      </w:r>
      <w:r>
        <w:rPr>
          <w:rFonts w:hint="eastAsia"/>
          <w:sz w:val="15"/>
          <w:szCs w:val="15"/>
          <w:highlight w:val="none"/>
        </w:rPr>
        <w:t>，</w:t>
      </w:r>
      <w:r>
        <w:rPr>
          <w:rFonts w:hint="eastAsia"/>
          <w:sz w:val="15"/>
          <w:szCs w:val="15"/>
          <w:highlight w:val="none"/>
          <w:lang w:val="en-US" w:eastAsia="zh-CN"/>
        </w:rPr>
        <w:t>132530196909230013</w:t>
      </w:r>
      <w:r>
        <w:rPr>
          <w:rFonts w:hint="eastAsia"/>
          <w:sz w:val="15"/>
          <w:szCs w:val="15"/>
        </w:rPr>
        <w:t xml:space="preserve">  </w:t>
      </w:r>
      <w:r>
        <w:rPr>
          <w:rFonts w:hint="eastAsia"/>
          <w:sz w:val="15"/>
          <w:szCs w:val="15"/>
          <w:lang w:val="en-US" w:eastAsia="zh-CN"/>
        </w:rPr>
        <w:t>冀B07415D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