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黄伟强</w:t>
      </w:r>
      <w:r>
        <w:rPr>
          <w:rFonts w:hint="eastAsia"/>
          <w:sz w:val="15"/>
          <w:szCs w:val="15"/>
          <w:highlight w:val="none"/>
        </w:rPr>
        <w:t>，</w:t>
      </w:r>
      <w:r>
        <w:rPr>
          <w:rFonts w:hint="eastAsia"/>
          <w:sz w:val="15"/>
          <w:szCs w:val="15"/>
          <w:highlight w:val="none"/>
          <w:lang w:val="en-US" w:eastAsia="zh-CN"/>
        </w:rPr>
        <w:t>13240119790713739X</w:t>
      </w:r>
      <w:r>
        <w:rPr>
          <w:rFonts w:hint="eastAsia"/>
          <w:sz w:val="15"/>
          <w:szCs w:val="15"/>
        </w:rPr>
        <w:t xml:space="preserve">  </w:t>
      </w:r>
      <w:r>
        <w:rPr>
          <w:rFonts w:hint="eastAsia"/>
          <w:sz w:val="15"/>
          <w:szCs w:val="15"/>
          <w:lang w:val="en-US" w:eastAsia="zh-CN"/>
        </w:rPr>
        <w:t>冀FZ8607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