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李海霞</w:t>
      </w:r>
      <w:r>
        <w:rPr>
          <w:rFonts w:hint="eastAsia"/>
          <w:sz w:val="15"/>
          <w:szCs w:val="15"/>
          <w:highlight w:val="none"/>
        </w:rPr>
        <w:t>，</w:t>
      </w:r>
      <w:r>
        <w:rPr>
          <w:rFonts w:hint="eastAsia"/>
          <w:sz w:val="15"/>
          <w:szCs w:val="15"/>
          <w:highlight w:val="none"/>
          <w:lang w:val="en-US" w:eastAsia="zh-CN"/>
        </w:rPr>
        <w:t>132337198004293063</w:t>
      </w:r>
      <w:r>
        <w:rPr>
          <w:rFonts w:hint="eastAsia"/>
          <w:sz w:val="15"/>
          <w:szCs w:val="15"/>
        </w:rPr>
        <w:t xml:space="preserve">  </w:t>
      </w:r>
      <w:r>
        <w:rPr>
          <w:rFonts w:hint="eastAsia"/>
          <w:sz w:val="15"/>
          <w:szCs w:val="15"/>
          <w:lang w:val="en-US" w:eastAsia="zh-CN"/>
        </w:rPr>
        <w:t>冀AT8964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