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王志明</w:t>
      </w:r>
      <w:r>
        <w:rPr>
          <w:rFonts w:hint="eastAsia"/>
          <w:sz w:val="15"/>
          <w:szCs w:val="15"/>
          <w:highlight w:val="none"/>
        </w:rPr>
        <w:t>，</w:t>
      </w:r>
      <w:r>
        <w:rPr>
          <w:rFonts w:hint="eastAsia"/>
          <w:sz w:val="15"/>
          <w:szCs w:val="15"/>
          <w:highlight w:val="none"/>
          <w:lang w:val="en-US" w:eastAsia="zh-CN"/>
        </w:rPr>
        <w:t>132337197805113339</w:t>
      </w:r>
      <w:r>
        <w:rPr>
          <w:rFonts w:hint="eastAsia"/>
          <w:sz w:val="15"/>
          <w:szCs w:val="15"/>
        </w:rPr>
        <w:t xml:space="preserve">  </w:t>
      </w:r>
      <w:r>
        <w:rPr>
          <w:rFonts w:hint="eastAsia"/>
          <w:sz w:val="15"/>
          <w:szCs w:val="15"/>
          <w:lang w:val="en-US" w:eastAsia="zh-CN"/>
        </w:rPr>
        <w:t>冀A40379D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