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宋书永</w:t>
      </w:r>
      <w:r>
        <w:rPr>
          <w:rFonts w:hint="eastAsia"/>
          <w:sz w:val="15"/>
          <w:szCs w:val="15"/>
          <w:highlight w:val="none"/>
        </w:rPr>
        <w:t>，</w:t>
      </w:r>
      <w:r>
        <w:rPr>
          <w:rFonts w:hint="eastAsia"/>
          <w:sz w:val="15"/>
          <w:szCs w:val="15"/>
          <w:highlight w:val="none"/>
          <w:lang w:val="en-US" w:eastAsia="zh-CN"/>
        </w:rPr>
        <w:t>132337197610031632</w:t>
      </w:r>
      <w:r>
        <w:rPr>
          <w:rFonts w:hint="eastAsia"/>
          <w:sz w:val="15"/>
          <w:szCs w:val="15"/>
        </w:rPr>
        <w:t xml:space="preserve">  </w:t>
      </w:r>
      <w:r>
        <w:rPr>
          <w:rFonts w:hint="eastAsia"/>
          <w:sz w:val="15"/>
          <w:szCs w:val="15"/>
          <w:lang w:val="en-US" w:eastAsia="zh-CN"/>
        </w:rPr>
        <w:t>冀A42765D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