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靳业苹</w:t>
      </w:r>
      <w:r>
        <w:rPr>
          <w:rFonts w:hint="eastAsia"/>
          <w:sz w:val="15"/>
          <w:szCs w:val="15"/>
          <w:highlight w:val="none"/>
        </w:rPr>
        <w:t>，</w:t>
      </w:r>
      <w:r>
        <w:rPr>
          <w:rFonts w:hint="eastAsia"/>
          <w:sz w:val="15"/>
          <w:szCs w:val="15"/>
          <w:highlight w:val="none"/>
          <w:lang w:val="en-US" w:eastAsia="zh-CN"/>
        </w:rPr>
        <w:t>132337197401161246</w:t>
      </w:r>
      <w:r>
        <w:rPr>
          <w:rFonts w:hint="eastAsia"/>
          <w:sz w:val="15"/>
          <w:szCs w:val="15"/>
        </w:rPr>
        <w:t xml:space="preserve">  </w:t>
      </w:r>
      <w:r>
        <w:rPr>
          <w:rFonts w:hint="eastAsia"/>
          <w:sz w:val="15"/>
          <w:szCs w:val="15"/>
          <w:lang w:val="en-US" w:eastAsia="zh-CN"/>
        </w:rPr>
        <w:t>冀AXZ698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